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98E8" w14:textId="77777777" w:rsidR="00510B0E" w:rsidRDefault="00510B0E" w:rsidP="00510B0E">
      <w:pPr>
        <w:spacing w:after="0" w:line="240" w:lineRule="auto"/>
        <w:rPr>
          <w:rFonts w:ascii="Arial" w:eastAsia="Times New Roman" w:hAnsi="Arial" w:cs="Arial"/>
          <w:color w:val="000000"/>
          <w:lang w:eastAsia="en-AU"/>
        </w:rPr>
      </w:pPr>
      <w:r w:rsidRPr="00E63CFF">
        <w:rPr>
          <w:rFonts w:ascii="Arial" w:eastAsia="Times New Roman" w:hAnsi="Arial" w:cs="Arial"/>
          <w:noProof/>
          <w:bdr w:val="none" w:sz="0" w:space="0" w:color="auto" w:frame="1"/>
          <w:lang w:eastAsia="en-AU"/>
        </w:rPr>
        <w:drawing>
          <wp:inline distT="0" distB="0" distL="0" distR="0" wp14:anchorId="1E991D29" wp14:editId="730078AC">
            <wp:extent cx="708660" cy="708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4656E57B" w14:textId="77777777" w:rsidR="00510B0E" w:rsidRDefault="00510B0E" w:rsidP="00510B0E">
      <w:pPr>
        <w:spacing w:after="0" w:line="240" w:lineRule="auto"/>
        <w:rPr>
          <w:rFonts w:ascii="Arial" w:eastAsia="Times New Roman" w:hAnsi="Arial" w:cs="Arial"/>
          <w:color w:val="000000"/>
          <w:lang w:eastAsia="en-AU"/>
        </w:rPr>
      </w:pPr>
    </w:p>
    <w:p w14:paraId="0EAE7A6D" w14:textId="77777777" w:rsidR="00510B0E" w:rsidRPr="00D84E6E" w:rsidRDefault="00510B0E" w:rsidP="00510B0E">
      <w:pPr>
        <w:spacing w:after="0" w:line="240" w:lineRule="auto"/>
        <w:rPr>
          <w:rFonts w:ascii="Arial" w:eastAsia="Times New Roman" w:hAnsi="Arial" w:cs="Arial"/>
          <w:b/>
          <w:bCs/>
          <w:lang w:eastAsia="en-AU"/>
        </w:rPr>
      </w:pPr>
      <w:bookmarkStart w:id="0" w:name="PrincipalPerfManagement"/>
      <w:bookmarkEnd w:id="0"/>
      <w:r w:rsidRPr="00D84E6E">
        <w:rPr>
          <w:rFonts w:ascii="Arial" w:eastAsia="Times New Roman" w:hAnsi="Arial" w:cs="Arial"/>
          <w:b/>
          <w:bCs/>
          <w:color w:val="000000"/>
          <w:lang w:eastAsia="en-AU"/>
        </w:rPr>
        <w:t>PRINCIPAL’S PERFORMANCE MANAGEMENT POLICY</w:t>
      </w:r>
    </w:p>
    <w:p w14:paraId="569B59CC" w14:textId="77777777" w:rsidR="00510B0E" w:rsidRPr="00E63CFF" w:rsidRDefault="00510B0E" w:rsidP="00510B0E">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20D0DBC6" w14:textId="77777777" w:rsidR="00510B0E" w:rsidRPr="00E63CFF" w:rsidRDefault="00510B0E" w:rsidP="00510B0E">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078C0DA7" w14:textId="77777777" w:rsidR="00510B0E" w:rsidRPr="00E63CFF" w:rsidRDefault="00510B0E" w:rsidP="00510B0E">
      <w:pPr>
        <w:spacing w:before="68"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A fair and transparent performance management process recognises the professionalism of the principal and the accountabilities of the board.</w:t>
      </w:r>
    </w:p>
    <w:p w14:paraId="22F48787" w14:textId="77777777" w:rsidR="00510B0E" w:rsidRPr="00E63CFF" w:rsidRDefault="00510B0E" w:rsidP="00510B0E">
      <w:pPr>
        <w:spacing w:after="0" w:line="240" w:lineRule="auto"/>
        <w:rPr>
          <w:rFonts w:ascii="Arial" w:eastAsia="Times New Roman" w:hAnsi="Arial" w:cs="Arial"/>
          <w:lang w:eastAsia="en-AU"/>
        </w:rPr>
      </w:pPr>
    </w:p>
    <w:p w14:paraId="1A0000F0" w14:textId="77777777" w:rsidR="00510B0E" w:rsidRPr="00E63CFF" w:rsidRDefault="00510B0E" w:rsidP="00510B0E">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Scoping</w:t>
      </w:r>
    </w:p>
    <w:p w14:paraId="0D30C830" w14:textId="77777777" w:rsidR="00510B0E" w:rsidRPr="00E63CFF" w:rsidRDefault="00510B0E" w:rsidP="00510B0E">
      <w:pPr>
        <w:spacing w:before="68"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An annual performance agreement will be established between the board and principal and be in place at the beginning of each school year.</w:t>
      </w:r>
    </w:p>
    <w:p w14:paraId="237C9A7A" w14:textId="77777777" w:rsidR="00510B0E" w:rsidRPr="00E63CFF" w:rsidRDefault="00510B0E" w:rsidP="00510B0E">
      <w:pPr>
        <w:spacing w:before="81"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The principal’s performance against this agreement will be reviewed throughout the year, and a final report will be prepared and presented to the board at the end of the school year.</w:t>
      </w:r>
    </w:p>
    <w:p w14:paraId="7E3F0745" w14:textId="77777777" w:rsidR="00510B0E" w:rsidRPr="00E63CFF" w:rsidRDefault="00510B0E" w:rsidP="00510B0E">
      <w:pPr>
        <w:spacing w:before="68"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The prime focuses of the agreement will be that every student at the school is able to attain their highest possible standard in educational achievement and that the school is progressing towards the objectives in its Charter.</w:t>
      </w:r>
    </w:p>
    <w:p w14:paraId="5306D0CF" w14:textId="77777777" w:rsidR="00510B0E" w:rsidRPr="00E63CFF" w:rsidRDefault="00510B0E" w:rsidP="00510B0E">
      <w:pPr>
        <w:spacing w:before="68"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A budget for professional expenses and for professional development will be established annually in accordance with the principal’s professional development plan contained in their performance agreement and be included in the budget. Spending within budget is with the approval of the board. Any overseas trips for professional development must be approved by the board of trustees at least one term in advance of the event.</w:t>
      </w:r>
    </w:p>
    <w:p w14:paraId="47858105" w14:textId="77777777" w:rsidR="00510B0E" w:rsidRPr="00E63CFF" w:rsidRDefault="00510B0E" w:rsidP="00510B0E">
      <w:pPr>
        <w:spacing w:before="68"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 xml:space="preserve">Professional development expenses may include but are not confined to continuing education, </w:t>
      </w:r>
      <w:proofErr w:type="gramStart"/>
      <w:r w:rsidRPr="00E63CFF">
        <w:rPr>
          <w:rFonts w:ascii="Arial" w:eastAsia="Times New Roman" w:hAnsi="Arial" w:cs="Arial"/>
          <w:color w:val="000000"/>
          <w:lang w:eastAsia="en-AU"/>
        </w:rPr>
        <w:t>books</w:t>
      </w:r>
      <w:proofErr w:type="gramEnd"/>
      <w:r w:rsidRPr="00E63CFF">
        <w:rPr>
          <w:rFonts w:ascii="Arial" w:eastAsia="Times New Roman" w:hAnsi="Arial" w:cs="Arial"/>
          <w:color w:val="000000"/>
          <w:lang w:eastAsia="en-AU"/>
        </w:rPr>
        <w:t xml:space="preserve"> and periodicals, mentoring and attendance at professional conferences.</w:t>
      </w:r>
    </w:p>
    <w:p w14:paraId="67B38544" w14:textId="77777777" w:rsidR="00510B0E" w:rsidRPr="00E63CFF" w:rsidRDefault="00510B0E" w:rsidP="00510B0E">
      <w:pPr>
        <w:spacing w:after="0" w:line="240" w:lineRule="auto"/>
        <w:rPr>
          <w:rFonts w:ascii="Arial" w:eastAsia="Times New Roman" w:hAnsi="Arial" w:cs="Arial"/>
          <w:lang w:eastAsia="en-AU"/>
        </w:rPr>
      </w:pPr>
    </w:p>
    <w:p w14:paraId="6D0C637B" w14:textId="77777777" w:rsidR="00510B0E" w:rsidRPr="00E63CFF" w:rsidRDefault="00510B0E" w:rsidP="00510B0E">
      <w:pPr>
        <w:spacing w:before="114" w:after="0" w:line="240" w:lineRule="auto"/>
        <w:ind w:firstLine="110"/>
        <w:rPr>
          <w:rFonts w:ascii="Arial" w:eastAsia="Times New Roman" w:hAnsi="Arial" w:cs="Arial"/>
          <w:lang w:eastAsia="en-AU"/>
        </w:rPr>
      </w:pPr>
      <w:r w:rsidRPr="00E63CFF">
        <w:rPr>
          <w:rFonts w:ascii="Arial" w:eastAsia="Times New Roman" w:hAnsi="Arial" w:cs="Arial"/>
          <w:b/>
          <w:bCs/>
          <w:color w:val="000000"/>
          <w:lang w:eastAsia="en-AU"/>
        </w:rPr>
        <w:t>Delegations</w:t>
      </w:r>
    </w:p>
    <w:p w14:paraId="0F516776" w14:textId="77777777" w:rsidR="00510B0E" w:rsidRPr="00E63CFF" w:rsidRDefault="00510B0E" w:rsidP="00510B0E">
      <w:pPr>
        <w:spacing w:before="67"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The chair (or personnel committee of the board) will ensure an annual performance review is carried out in accordance with this policy.</w:t>
      </w:r>
    </w:p>
    <w:p w14:paraId="40FAE46C" w14:textId="77777777" w:rsidR="00510B0E" w:rsidRPr="00E63CFF" w:rsidRDefault="00510B0E" w:rsidP="00510B0E">
      <w:pPr>
        <w:spacing w:after="0" w:line="240" w:lineRule="auto"/>
        <w:rPr>
          <w:rFonts w:ascii="Arial" w:eastAsia="Times New Roman" w:hAnsi="Arial" w:cs="Arial"/>
          <w:lang w:eastAsia="en-AU"/>
        </w:rPr>
      </w:pPr>
    </w:p>
    <w:p w14:paraId="7419D2CE" w14:textId="77777777" w:rsidR="00510B0E" w:rsidRPr="00E63CFF" w:rsidRDefault="00510B0E" w:rsidP="00510B0E">
      <w:pPr>
        <w:spacing w:before="114" w:after="0" w:line="240" w:lineRule="auto"/>
        <w:ind w:firstLine="110"/>
        <w:rPr>
          <w:rFonts w:ascii="Arial" w:eastAsia="Times New Roman" w:hAnsi="Arial" w:cs="Arial"/>
          <w:lang w:eastAsia="en-AU"/>
        </w:rPr>
      </w:pPr>
      <w:r w:rsidRPr="00E63CFF">
        <w:rPr>
          <w:rFonts w:ascii="Arial" w:eastAsia="Times New Roman" w:hAnsi="Arial" w:cs="Arial"/>
          <w:b/>
          <w:bCs/>
          <w:color w:val="000000"/>
          <w:lang w:eastAsia="en-AU"/>
        </w:rPr>
        <w:t>Expectations and limitations</w:t>
      </w:r>
    </w:p>
    <w:p w14:paraId="1DB9254B"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review process will occur annually, providing a written record of how the principal has performed as per the terms of the performance agreement and identifying professional development needs.</w:t>
      </w:r>
    </w:p>
    <w:p w14:paraId="62D87CD8"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principal’s performance will be formally reviewed on an annual basis by duly delegated members of the board and, optionally at the board’s choice, an independent consultant who specialises in education.</w:t>
      </w:r>
    </w:p>
    <w:p w14:paraId="263A5911"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Those delegated or contracted to perform the review process shall have written formalised instructions specifying the responsibilities of the role.</w:t>
      </w:r>
    </w:p>
    <w:p w14:paraId="2777988D"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There will be one interim review, in the middle of the year between the principal and chair or delegate(s) to discuss progress.</w:t>
      </w:r>
    </w:p>
    <w:p w14:paraId="3224159E"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principal will be reviewed on the criteria set out in the performance agreement – performance objectives, professional standards, learning and development objectives and fulfilment of additional duties that require concurrence payment.</w:t>
      </w:r>
    </w:p>
    <w:p w14:paraId="2D5E1150"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If the principal and the board disagree on the performance objectives, the board, after considering the principal’s input, will amend the disputed objectives or confirm the unchanged objectives. The board’s decision will be final.</w:t>
      </w:r>
    </w:p>
    <w:p w14:paraId="0CCAE569"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lastRenderedPageBreak/>
        <w:t>The board chair, delegate(s) and consultant will gather information from staff, parents or any other relevant members of the larger school community who can provide feedback on how the principal has performed. Evidence may include for example surveys, self-review, teaching observation (if relevant), interviews, focus groups or documentary evidence. Other possible sources of evidence are listed at the end of this policy. </w:t>
      </w:r>
    </w:p>
    <w:p w14:paraId="5ECF9B39"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principal and delegate(s) will meet for a formal interview to discuss whether the performance agreement has been satisfied, with the principal given the opportunity to discuss and comment on each criterion before a rating is given. The results will then be drafted into a report by the delegate(s) and sent to the principal. The principal can accept the report or dispute the report. If the report is disputed, the delegate(s) will consider the principal’s views before deciding to either amend the report in accordance with the principal’s views or let the report stand with the principal’s comments attached.</w:t>
      </w:r>
    </w:p>
    <w:p w14:paraId="5D82CEBE"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chair/delegate(s)/consultant will present the final report/summary back to the board with the result of the review for review and approval. The principal may/may not be present at the presentation and/but will have the opportunity to address the board. The principal will then exit, and further discussion may continue among the board.</w:t>
      </w:r>
    </w:p>
    <w:p w14:paraId="7E424495"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principal will be informed personally and in writing of the </w:t>
      </w:r>
      <w:proofErr w:type="gramStart"/>
      <w:r w:rsidRPr="00E63CFF">
        <w:rPr>
          <w:rFonts w:ascii="Arial" w:eastAsia="Times New Roman" w:hAnsi="Arial" w:cs="Arial"/>
          <w:color w:val="000000"/>
          <w:lang w:eastAsia="en-AU"/>
        </w:rPr>
        <w:t>final outcome</w:t>
      </w:r>
      <w:proofErr w:type="gramEnd"/>
      <w:r w:rsidRPr="00E63CFF">
        <w:rPr>
          <w:rFonts w:ascii="Arial" w:eastAsia="Times New Roman" w:hAnsi="Arial" w:cs="Arial"/>
          <w:color w:val="000000"/>
          <w:lang w:eastAsia="en-AU"/>
        </w:rPr>
        <w:t xml:space="preserve"> following the report discussion.</w:t>
      </w:r>
    </w:p>
    <w:p w14:paraId="4F4E081B" w14:textId="77777777" w:rsidR="00510B0E" w:rsidRPr="00E63CFF" w:rsidRDefault="00510B0E" w:rsidP="00510B0E">
      <w:pPr>
        <w:numPr>
          <w:ilvl w:val="0"/>
          <w:numId w:val="1"/>
        </w:numPr>
        <w:spacing w:before="67" w:after="0" w:line="240" w:lineRule="auto"/>
        <w:ind w:left="47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performance agreement and results of the review are confidential to the principal, the </w:t>
      </w:r>
      <w:proofErr w:type="gramStart"/>
      <w:r w:rsidRPr="00E63CFF">
        <w:rPr>
          <w:rFonts w:ascii="Arial" w:eastAsia="Times New Roman" w:hAnsi="Arial" w:cs="Arial"/>
          <w:color w:val="000000"/>
          <w:lang w:eastAsia="en-AU"/>
        </w:rPr>
        <w:t>board</w:t>
      </w:r>
      <w:proofErr w:type="gramEnd"/>
      <w:r w:rsidRPr="00E63CFF">
        <w:rPr>
          <w:rFonts w:ascii="Arial" w:eastAsia="Times New Roman" w:hAnsi="Arial" w:cs="Arial"/>
          <w:color w:val="000000"/>
          <w:lang w:eastAsia="en-AU"/>
        </w:rPr>
        <w:t xml:space="preserve"> and their agents unless both parties agree to wider distribution.</w:t>
      </w:r>
    </w:p>
    <w:p w14:paraId="7F99D6EF" w14:textId="77777777" w:rsidR="00510B0E" w:rsidRPr="00E63CFF" w:rsidRDefault="00510B0E" w:rsidP="00510B0E">
      <w:pPr>
        <w:shd w:val="clear" w:color="auto" w:fill="FFFFFF"/>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4BD79AF1" w14:textId="77777777" w:rsidR="00510B0E" w:rsidRPr="00E63CFF" w:rsidRDefault="00510B0E" w:rsidP="00510B0E">
      <w:pPr>
        <w:shd w:val="clear" w:color="auto" w:fill="FFFFFF"/>
        <w:spacing w:after="240" w:line="240" w:lineRule="auto"/>
        <w:rPr>
          <w:rFonts w:ascii="Arial" w:eastAsia="Times New Roman" w:hAnsi="Arial" w:cs="Arial"/>
          <w:lang w:eastAsia="en-AU"/>
        </w:rPr>
      </w:pPr>
      <w:r w:rsidRPr="00E63CFF">
        <w:rPr>
          <w:rFonts w:ascii="Arial" w:eastAsia="Times New Roman" w:hAnsi="Arial" w:cs="Arial"/>
          <w:color w:val="000000"/>
          <w:lang w:eastAsia="en-AU"/>
        </w:rPr>
        <w:t>Possible sources of evidence:</w:t>
      </w:r>
    </w:p>
    <w:p w14:paraId="295FDCCE"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Self-evaluation</w:t>
      </w:r>
    </w:p>
    <w:p w14:paraId="5DA688BA"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Peer evaluation</w:t>
      </w:r>
    </w:p>
    <w:p w14:paraId="58D822C2"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Student achievements/exam results</w:t>
      </w:r>
    </w:p>
    <w:p w14:paraId="76BA487C"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Board members' comments</w:t>
      </w:r>
    </w:p>
    <w:p w14:paraId="637BBF58"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Staff input - a sample of staff selected for short interviews/surveys</w:t>
      </w:r>
    </w:p>
    <w:p w14:paraId="1D688E61"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Student input - a sample of students for short interviews/surveys</w:t>
      </w:r>
    </w:p>
    <w:p w14:paraId="4F2AD8EF"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Comments (verbal, letters, email) received from community members</w:t>
      </w:r>
    </w:p>
    <w:p w14:paraId="39D11D6B"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Principal's monthly board reports/annual report</w:t>
      </w:r>
    </w:p>
    <w:p w14:paraId="26626E7C"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School newsletters</w:t>
      </w:r>
    </w:p>
    <w:p w14:paraId="29355201"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School policies/handbooks</w:t>
      </w:r>
    </w:p>
    <w:p w14:paraId="7D97CAB9"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ERO reports</w:t>
      </w:r>
    </w:p>
    <w:p w14:paraId="43491DA8"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Analysis of variance report</w:t>
      </w:r>
    </w:p>
    <w:p w14:paraId="67039902"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Staff climate survey (how staff feel about the work environment)</w:t>
      </w:r>
    </w:p>
    <w:p w14:paraId="1011DFE9"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Staff usage and expenditure (SUE) report</w:t>
      </w:r>
    </w:p>
    <w:p w14:paraId="18C79CA1"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NZQA audits</w:t>
      </w:r>
    </w:p>
    <w:p w14:paraId="3CD07BB2"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Advice and guidance programme for provisionally registered teachers</w:t>
      </w:r>
    </w:p>
    <w:p w14:paraId="25261FC7"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Statistics on the number of staff leaving the school (turnover)</w:t>
      </w:r>
    </w:p>
    <w:p w14:paraId="429DCD0A"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Exit interviews (finding out why staff are leaving the position)</w:t>
      </w:r>
    </w:p>
    <w:p w14:paraId="3ACFD7DE"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Student records of truancy/suspension</w:t>
      </w:r>
    </w:p>
    <w:p w14:paraId="52993451"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Staff records of employment disputes/issues</w:t>
      </w:r>
    </w:p>
    <w:p w14:paraId="5A78EB01"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Results of professional development activities</w:t>
      </w:r>
    </w:p>
    <w:p w14:paraId="6BDC6E8F"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Educational plans for students with high needs</w:t>
      </w:r>
    </w:p>
    <w:p w14:paraId="028A650E"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Enrolment information</w:t>
      </w:r>
    </w:p>
    <w:p w14:paraId="12537C5E"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Collection of school media exposure</w:t>
      </w:r>
    </w:p>
    <w:p w14:paraId="27D6D10F"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Board minutes</w:t>
      </w:r>
    </w:p>
    <w:p w14:paraId="771EEBB0"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Staff professional development summary</w:t>
      </w:r>
    </w:p>
    <w:p w14:paraId="7844A476" w14:textId="77777777" w:rsidR="00510B0E" w:rsidRPr="00E63CFF" w:rsidRDefault="00510B0E" w:rsidP="00510B0E">
      <w:pPr>
        <w:numPr>
          <w:ilvl w:val="0"/>
          <w:numId w:val="2"/>
        </w:numPr>
        <w:shd w:val="clear" w:color="auto" w:fill="FFFFFF"/>
        <w:spacing w:after="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The condition of school property/finances</w:t>
      </w:r>
    </w:p>
    <w:p w14:paraId="7C6647DD" w14:textId="77777777" w:rsidR="00510B0E" w:rsidRPr="00E63CFF" w:rsidRDefault="00510B0E" w:rsidP="00510B0E">
      <w:pPr>
        <w:numPr>
          <w:ilvl w:val="0"/>
          <w:numId w:val="2"/>
        </w:numPr>
        <w:shd w:val="clear" w:color="auto" w:fill="FFFFFF"/>
        <w:spacing w:after="240" w:line="240" w:lineRule="auto"/>
        <w:textAlignment w:val="baseline"/>
        <w:rPr>
          <w:rFonts w:ascii="Arial" w:eastAsia="Times New Roman" w:hAnsi="Arial" w:cs="Arial"/>
          <w:i/>
          <w:iCs/>
          <w:color w:val="000000"/>
          <w:lang w:eastAsia="en-AU"/>
        </w:rPr>
      </w:pPr>
      <w:r w:rsidRPr="00E63CFF">
        <w:rPr>
          <w:rFonts w:ascii="Arial" w:eastAsia="Times New Roman" w:hAnsi="Arial" w:cs="Arial"/>
          <w:i/>
          <w:iCs/>
          <w:color w:val="000000"/>
          <w:lang w:eastAsia="en-AU"/>
        </w:rPr>
        <w:t>Professional organisation membership</w:t>
      </w:r>
    </w:p>
    <w:p w14:paraId="7ADFD301" w14:textId="77777777" w:rsidR="00510B0E" w:rsidRPr="00E63CFF" w:rsidRDefault="00510B0E" w:rsidP="00510B0E">
      <w:pPr>
        <w:shd w:val="clear" w:color="auto" w:fill="FFFFFF"/>
        <w:spacing w:after="240" w:line="240" w:lineRule="auto"/>
        <w:rPr>
          <w:rFonts w:ascii="Arial" w:eastAsia="Times New Roman" w:hAnsi="Arial" w:cs="Arial"/>
          <w:lang w:eastAsia="en-AU"/>
        </w:rPr>
      </w:pPr>
      <w:r w:rsidRPr="00E63CFF">
        <w:rPr>
          <w:rFonts w:ascii="Arial" w:eastAsia="Times New Roman" w:hAnsi="Arial" w:cs="Arial"/>
          <w:b/>
          <w:bCs/>
          <w:color w:val="000000"/>
          <w:lang w:eastAsia="en-AU"/>
        </w:rPr>
        <w:t>Note</w:t>
      </w:r>
      <w:r w:rsidRPr="00E63CFF">
        <w:rPr>
          <w:rFonts w:ascii="Arial" w:eastAsia="Times New Roman" w:hAnsi="Arial" w:cs="Arial"/>
          <w:color w:val="000000"/>
          <w:lang w:eastAsia="en-AU"/>
        </w:rPr>
        <w:t>: The methods of collection should be as neutral as possible. If surveying a sample of staff, that sample should be random, across a variety of roles. </w:t>
      </w:r>
    </w:p>
    <w:p w14:paraId="77AED8F4" w14:textId="77777777" w:rsidR="00510B0E" w:rsidRPr="00E63CFF" w:rsidRDefault="00510B0E" w:rsidP="00510B0E">
      <w:pPr>
        <w:spacing w:after="0" w:line="240" w:lineRule="auto"/>
        <w:rPr>
          <w:rFonts w:ascii="Arial" w:eastAsia="Times New Roman" w:hAnsi="Arial" w:cs="Arial"/>
          <w:lang w:eastAsia="en-AU"/>
        </w:rPr>
      </w:pPr>
      <w:r w:rsidRPr="00E63CFF">
        <w:rPr>
          <w:rFonts w:ascii="Arial" w:eastAsia="Times New Roman" w:hAnsi="Arial" w:cs="Arial"/>
          <w:lang w:eastAsia="en-AU"/>
        </w:rPr>
        <w:lastRenderedPageBreak/>
        <w:br/>
      </w:r>
      <w:r w:rsidRPr="00E63CFF">
        <w:rPr>
          <w:rFonts w:ascii="Arial" w:eastAsia="Times New Roman" w:hAnsi="Arial" w:cs="Arial"/>
          <w:lang w:eastAsia="en-AU"/>
        </w:rPr>
        <w:br/>
      </w:r>
      <w:r w:rsidRPr="00E63CFF">
        <w:rPr>
          <w:rFonts w:ascii="Arial" w:eastAsia="Times New Roman" w:hAnsi="Arial" w:cs="Arial"/>
          <w:color w:val="000000"/>
          <w:lang w:eastAsia="en-AU"/>
        </w:rPr>
        <w:br/>
      </w:r>
    </w:p>
    <w:p w14:paraId="09C5F1C5" w14:textId="77777777" w:rsidR="00510B0E" w:rsidRPr="00E63CFF" w:rsidRDefault="00510B0E" w:rsidP="00510B0E">
      <w:pPr>
        <w:spacing w:before="137" w:after="0" w:line="240" w:lineRule="auto"/>
        <w:ind w:firstLine="110"/>
        <w:rPr>
          <w:rFonts w:ascii="Arial" w:eastAsia="Times New Roman" w:hAnsi="Arial" w:cs="Arial"/>
          <w:lang w:eastAsia="en-AU"/>
        </w:rPr>
      </w:pPr>
      <w:r w:rsidRPr="00E63CFF">
        <w:rPr>
          <w:rFonts w:ascii="Arial" w:eastAsia="Times New Roman" w:hAnsi="Arial" w:cs="Arial"/>
          <w:b/>
          <w:bCs/>
          <w:color w:val="000000"/>
          <w:lang w:eastAsia="en-AU"/>
        </w:rPr>
        <w:t>Monitoring</w:t>
      </w:r>
    </w:p>
    <w:p w14:paraId="09D8C00D" w14:textId="77777777" w:rsidR="00510B0E" w:rsidRPr="00E63CFF" w:rsidRDefault="00510B0E" w:rsidP="00510B0E">
      <w:pPr>
        <w:spacing w:before="67"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The board will review the process at the end of each year and use that to inform decisions for the following year. </w:t>
      </w:r>
    </w:p>
    <w:p w14:paraId="5B4C7003" w14:textId="77777777" w:rsidR="00510B0E" w:rsidRPr="00E63CFF" w:rsidRDefault="00510B0E" w:rsidP="00510B0E">
      <w:pPr>
        <w:spacing w:before="67"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The Board will review the policy every 3 years. </w:t>
      </w:r>
    </w:p>
    <w:p w14:paraId="238FC2F1" w14:textId="4D4D1205" w:rsidR="006167AE" w:rsidRPr="00510B0E" w:rsidRDefault="00510B0E" w:rsidP="00510B0E">
      <w:pPr>
        <w:spacing w:before="67" w:after="0" w:line="240" w:lineRule="auto"/>
        <w:ind w:left="110"/>
        <w:rPr>
          <w:rFonts w:ascii="Arial" w:eastAsia="Times New Roman" w:hAnsi="Arial" w:cs="Arial"/>
          <w:lang w:eastAsia="en-AU"/>
        </w:rPr>
      </w:pPr>
      <w:r w:rsidRPr="00E63CFF">
        <w:rPr>
          <w:rFonts w:ascii="Arial" w:eastAsia="Times New Roman" w:hAnsi="Arial" w:cs="Arial"/>
          <w:color w:val="000000"/>
          <w:lang w:eastAsia="en-AU"/>
        </w:rPr>
        <w:t> </w:t>
      </w:r>
    </w:p>
    <w:sectPr w:rsidR="006167AE" w:rsidRPr="00510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706"/>
    <w:multiLevelType w:val="multilevel"/>
    <w:tmpl w:val="D70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34DFF"/>
    <w:multiLevelType w:val="multilevel"/>
    <w:tmpl w:val="E25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0E"/>
    <w:rsid w:val="00510B0E"/>
    <w:rsid w:val="0061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5D90"/>
  <w15:chartTrackingRefBased/>
  <w15:docId w15:val="{CE09165A-8B9E-4ECB-B6D6-BF208707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2021-03-15T11:04:00Z</dcterms:created>
  <dcterms:modified xsi:type="dcterms:W3CDTF">2021-03-15T11:05:00Z</dcterms:modified>
</cp:coreProperties>
</file>